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 w:hAnsi="宋体" w:cs="微软雅黑"/>
          <w:spacing w:val="46"/>
          <w:sz w:val="32"/>
          <w:szCs w:val="32"/>
        </w:rPr>
      </w:pPr>
      <w:r>
        <w:rPr>
          <w:rFonts w:hint="eastAsia" w:ascii="宋体" w:hAnsi="宋体" w:cs="微软雅黑"/>
          <w:spacing w:val="46"/>
          <w:sz w:val="32"/>
          <w:szCs w:val="32"/>
        </w:rPr>
        <w:t>大连海洋大学2020年硕士研究生考试大纲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</w:t>
      </w:r>
      <w:r>
        <w:rPr>
          <w:rFonts w:hint="eastAsia" w:ascii="宋体" w:hAnsi="宋体"/>
          <w:sz w:val="28"/>
          <w:szCs w:val="28"/>
          <w:u w:val="single"/>
        </w:rPr>
        <w:t xml:space="preserve"> 海洋法律与人文  </w:t>
      </w:r>
      <w:r>
        <w:rPr>
          <w:rFonts w:hint="eastAsia" w:ascii="宋体" w:hAnsi="宋体"/>
          <w:sz w:val="28"/>
          <w:szCs w:val="28"/>
        </w:rPr>
        <w:t xml:space="preserve">学院  </w:t>
      </w:r>
    </w:p>
    <w:tbl>
      <w:tblPr>
        <w:tblStyle w:val="5"/>
        <w:tblpPr w:leftFromText="180" w:rightFromText="180" w:vertAnchor="text" w:horzAnchor="page" w:tblpX="1661" w:tblpY="34"/>
        <w:tblOverlap w:val="never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8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考试科目</w:t>
            </w:r>
          </w:p>
        </w:tc>
        <w:tc>
          <w:tcPr>
            <w:tcW w:w="8006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kern w:val="2"/>
                <w:sz w:val="30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0"/>
                <w:szCs w:val="22"/>
              </w:rPr>
              <w:t>815法学专业综合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考试大纲</w:t>
            </w:r>
          </w:p>
        </w:tc>
        <w:tc>
          <w:tcPr>
            <w:tcW w:w="8006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kern w:val="2"/>
                <w:sz w:val="30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0"/>
                <w:szCs w:val="22"/>
              </w:rPr>
              <w:t>一、民 法</w:t>
            </w:r>
          </w:p>
          <w:p>
            <w:pPr>
              <w:adjustRightInd/>
              <w:spacing w:line="360" w:lineRule="auto"/>
              <w:ind w:firstLine="482" w:firstLineChars="200"/>
              <w:textAlignment w:val="auto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推荐参考书籍：《民法》王利明主编，</w:t>
            </w: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人民大学出版社2</w:t>
            </w:r>
            <w:bookmarkStart w:id="0" w:name="_GoBack"/>
            <w:bookmarkEnd w:id="0"/>
            <w:r>
              <w:rPr>
                <w:rFonts w:ascii="宋体" w:hAnsi="宋体" w:cstheme="minorBidi"/>
                <w:b/>
                <w:kern w:val="2"/>
                <w:sz w:val="24"/>
                <w:szCs w:val="24"/>
              </w:rPr>
              <w:t>018</w:t>
            </w: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年版。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黑体" w:hAnsi="黑体" w:eastAsia="黑体" w:cs="Tahoma"/>
                <w:color w:val="404040"/>
                <w:sz w:val="22"/>
                <w:szCs w:val="21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>第一编 民法总论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2"/>
                <w:szCs w:val="21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第一章 民法概述 </w:t>
            </w:r>
            <w:r>
              <w:rPr>
                <w:rFonts w:hint="eastAsia"/>
                <w:color w:val="404040"/>
                <w:sz w:val="28"/>
                <w:szCs w:val="27"/>
              </w:rPr>
              <w:t>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民法的概念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我国民法的调整对象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>第三节 民法的特点 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民法与邻近法律部门的区别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民法的体系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民法的渊源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第七节 民法的适用范围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 w:val="21"/>
                <w:szCs w:val="21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第八节 我国民法的历史发展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第二章 民法的基本原则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民法基本原则概述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平等原则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自愿原则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公平原则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诚实信用原则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公序良俗原则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第七节 绿色原则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第三章 民事法律关系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民事法律关系概述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民事法律关系的要素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民事法律事实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第四章 自然人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自然人的民事权利能力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自然人的民事行为能力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自然人的民事责任能力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监 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自然人的姓名、住所、户籍和身份证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宣告失踪和宣告死亡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第七节 个体工商户与农村承包经营户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第五章 法 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法人制度概述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法人的成立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法人的民事能力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法人的机关及法人分支机构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法人的变更和终止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第六章 非法人组织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第七章 民事权利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民事权利的概念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民事权利的分类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民事权利的行使和保护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第八章 物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物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货币和有价证券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第九章 民事法律行为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民事法律行为概述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民事法律行为的分类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民事法律行为的成立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意思表示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民事法律行为的生效条件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效力存在欠缺的民事法律行为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第七节 附条件与附期限的民事法律行为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第十章 代 理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代理概述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代理权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无权代理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代理关系的消灭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第十一章 期限与诉讼时效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诉讼时效概述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诉讼时效期间的中断、中止和延长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诉讼时效期间届满的效果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期间与期日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>第二编 人格权</w:t>
            </w:r>
            <w:r>
              <w:rPr>
                <w:rFonts w:hint="eastAsia"/>
                <w:color w:val="404040"/>
                <w:sz w:val="28"/>
                <w:szCs w:val="27"/>
              </w:rPr>
              <w:t>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第十二章 人格权概述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人格和人格权的概念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人格权与其他权利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自然人死亡后人格权的保护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第十三章 一般人格权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一般人格权的概念与特征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一般人格权中的价值内涵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一般人格权的功能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一般人格权的司法适用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第十四章 具体人格权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生命权、健康权、身体权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姓名权、名称权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名誉权、荣誉权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肖像权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隐私权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其他人格权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第十五章 人格权的保护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人格权与其他权利的冲突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人格权的商业化利用及其保护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侵害人格权的民事责任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>第三编 物 权</w:t>
            </w:r>
            <w:r>
              <w:rPr>
                <w:rFonts w:hint="eastAsia"/>
                <w:color w:val="404040"/>
                <w:sz w:val="28"/>
                <w:szCs w:val="27"/>
              </w:rPr>
              <w:t>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第十六章 物权概述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物权的概念和特征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物权的分类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物权法的基本原则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物权的保护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第十七章 物权变动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不动产物权变动模式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动产物权的变动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非基于法律行为的物权变动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不动产登记制度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第十八章 所有权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所有权的概念和特征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所有权的权能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所有权的取得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所有权的行使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所有权的消灭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所有权的种类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第十九章 业主的建筑物区分所有权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业主的建筑物区分所有权的概念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专有权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共有权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管理权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业主大会和业主委员会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第二十章 相邻关系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相邻关系的概念和特征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相邻关系的种类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处理相邻关系的原则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第二十一章 共 有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共有的概念和特征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按份共有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共同共有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因共有财产而产生的共同债务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准共有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共有财产的分割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第二十二章 用益物权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用益物权概述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土地承包经营权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建设用地使用权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宅基地使用权 </w:t>
            </w:r>
          </w:p>
          <w:p>
            <w:pPr>
              <w:pStyle w:val="4"/>
              <w:shd w:val="clear" w:color="auto" w:fill="FFFFFF"/>
              <w:tabs>
                <w:tab w:val="left" w:pos="2850"/>
              </w:tabs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地役权 </w:t>
            </w:r>
            <w:r>
              <w:rPr>
                <w:rFonts w:ascii="Tahoma" w:hAnsi="Tahoma" w:cs="Tahoma"/>
                <w:color w:val="404040"/>
                <w:szCs w:val="27"/>
              </w:rPr>
              <w:tab/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第二十三章 担保物权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担保物权总论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抵押权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质 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留置权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第二十四章 占 有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占有概述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占有的分类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占有的取得、变更与消灭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占有的效力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占有的保护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>第四编 债权总论</w:t>
            </w:r>
            <w:r>
              <w:rPr>
                <w:rFonts w:hint="eastAsia"/>
                <w:color w:val="404040"/>
                <w:sz w:val="28"/>
                <w:szCs w:val="27"/>
              </w:rPr>
              <w:t>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第二十五章 债的概述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债的概念和特征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债的要素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债的发生原因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债的分类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第二十六章 债的履行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债的履行概述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债的适当履行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双务合同履行中的抗辩权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第二十七章 债的保全和担保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>第</w:t>
            </w:r>
            <w:r>
              <w:rPr>
                <w:rFonts w:ascii="Tahoma" w:hAnsi="Tahoma" w:cs="Tahoma"/>
                <w:color w:val="000000" w:themeColor="text1"/>
                <w:szCs w:val="27"/>
                <w14:textFill>
                  <w14:solidFill>
                    <w14:schemeClr w14:val="tx1"/>
                  </w14:solidFill>
                </w14:textFill>
              </w:rPr>
              <w:t>一节 债的保全</w:t>
            </w:r>
            <w:r>
              <w:rPr>
                <w:rFonts w:ascii="Tahoma" w:hAnsi="Tahoma" w:cs="Tahoma"/>
                <w:color w:val="404040"/>
                <w:szCs w:val="27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债的担保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第二十八章 债的移转和消灭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债的移转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债的消灭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>第五编 债权分论</w:t>
            </w:r>
            <w:r>
              <w:rPr>
                <w:rFonts w:hint="eastAsia"/>
                <w:color w:val="404040"/>
                <w:sz w:val="28"/>
                <w:szCs w:val="27"/>
              </w:rPr>
              <w:t>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第二十九章 合同概述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合同的概念和特征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合同与债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合同关系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合同的分类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第三十章 合同的订立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合同成立的概念和要件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要 约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承 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缔约过失责任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第三十一章 合同的内容与形式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合同的条款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合同权利与合同义务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合同的形式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第三十二章 合同的变更和解除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合同的变更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合同解除概述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合同解除的条件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合同解除的程序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合同解除的效力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第三十三章 违约责任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违约责任概述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违约行为形态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违约责任的主要形式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第三十四章 合同分则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买卖合同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供用电、水、气、热力合同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赠与合同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借款合同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租赁合同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第六节 融资租赁合同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第七节 承揽合同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第八节 建设工程合同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第九节 运输合同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第十节 技术合同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第十一节 保管合同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>第十二节 仓储合同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第十三节 委托合同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第十四节 行纪合同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第十五节 居间合同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第三十五章 不当得利之债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不当得利制度概述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不当得利的效力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第三十六章 无因管理之债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无因管理的概念和性质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无因管理的构成要件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无因管理的效力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>第六编 继承权</w:t>
            </w:r>
            <w:r>
              <w:rPr>
                <w:rFonts w:hint="eastAsia"/>
                <w:color w:val="404040"/>
                <w:sz w:val="28"/>
                <w:szCs w:val="27"/>
              </w:rPr>
              <w:t>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第三十七章 继承权概述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继承权的概念和特征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我国继承制度的性质和基本原则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继承权的保护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第三十八章 法定继承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法定继承及其适用范围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法定继承人的范围和顺序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代位继承和转继承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法定应继份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第三十九章 遗嘱继承、遗赠和遗赠扶养协议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遗嘱继承和遗嘱自由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遗 嘱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遗嘱的变更、撤销和执行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遗 赠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遗赠扶养协议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第四十章 继承程序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继承的开始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遗产的界定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继承权的接受、放弃和丧失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遗产管理、分割和债务清偿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无人继承又无人受遗赠的遗产的处理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>第七编 侵权责任</w:t>
            </w:r>
            <w:r>
              <w:rPr>
                <w:rFonts w:hint="eastAsia"/>
                <w:color w:val="404040"/>
                <w:sz w:val="28"/>
                <w:szCs w:val="27"/>
              </w:rPr>
              <w:t>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第四十一章 侵权责任法概述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侵权责任法的概念、体系与功能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责任重合与侵权赔偿责任优先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侵权责任的归责原则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第四十二章 一般侵权责任的构成要件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一般侵权责任的构成要件概述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加害行为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损 害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因果关系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过 错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第四十三章 数人的侵权责任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连带责任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按份责任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全部责任+补充责任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关于适当补偿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第四十四章 侵权责任方式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侵权责任方式概述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损害赔偿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停止侵害、排除妨碍、消除危险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返还财产、恢复原状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消除影响、恢复名誉、赔礼道歉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第四十五章 不承担侵权责任和减轻侵权责任的事由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不承担侵权责任和减轻侵权责任的事由概述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正当理由的抗辩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外来原因的抗辩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第四十六章 特殊责任主体对他人致害的责任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监护人责任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雇主责任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网络经营者侵权的责任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安全保障义务人责任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学校等教育机构对校园人身损害事故的责任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第四十七章 法律列举的侵权责任（上）：过错与过错推定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过错责任的列举：医疗损害责任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过错推定的列举：物件致人损害责任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黑体" w:hAnsi="黑体" w:eastAsia="黑体" w:cs="Tahoma"/>
                <w:color w:val="404040"/>
                <w:sz w:val="28"/>
                <w:szCs w:val="27"/>
              </w:rPr>
            </w:pPr>
            <w:r>
              <w:rPr>
                <w:rFonts w:ascii="黑体" w:hAnsi="黑体" w:eastAsia="黑体" w:cs="Tahoma"/>
                <w:color w:val="404040"/>
                <w:sz w:val="28"/>
                <w:szCs w:val="27"/>
              </w:rPr>
              <w:t xml:space="preserve">第四十八章 法律列举的侵权责任（下）：无过错责任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第一节 产品责任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第二节 污染环境责任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第三节 高度危险责任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第四节 机动车交通事故责任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rFonts w:ascii="Tahoma" w:hAnsi="Tahoma" w:cs="Tahoma"/>
                <w:color w:val="404040"/>
                <w:szCs w:val="27"/>
              </w:rPr>
            </w:pPr>
            <w:r>
              <w:rPr>
                <w:rFonts w:ascii="Tahoma" w:hAnsi="Tahoma" w:cs="Tahoma"/>
                <w:color w:val="404040"/>
                <w:szCs w:val="27"/>
              </w:rPr>
              <w:t xml:space="preserve">第五节 饲养动物致人损害责任 </w:t>
            </w:r>
          </w:p>
          <w:p>
            <w:pPr>
              <w:adjustRightInd/>
              <w:spacing w:line="360" w:lineRule="auto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Cs w:val="22"/>
              </w:rPr>
              <w:br w:type="page"/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kern w:val="2"/>
                <w:sz w:val="30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0"/>
                <w:szCs w:val="22"/>
              </w:rPr>
              <w:t>二、刑 法</w:t>
            </w:r>
          </w:p>
          <w:p>
            <w:pPr>
              <w:adjustRightInd/>
              <w:spacing w:line="360" w:lineRule="auto"/>
              <w:ind w:firstLine="482" w:firstLineChars="200"/>
              <w:textAlignment w:val="auto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推荐参考书籍：《刑法学》高铭暄、马克昌主编，北京大学出版社2</w:t>
            </w:r>
            <w:r>
              <w:rPr>
                <w:rFonts w:ascii="宋体" w:hAnsi="宋体" w:cstheme="minorBidi"/>
                <w:b/>
                <w:kern w:val="2"/>
                <w:sz w:val="24"/>
                <w:szCs w:val="24"/>
              </w:rPr>
              <w:t>017</w:t>
            </w: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年版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上编  刑法总论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第一章 刑法概说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刑法的概念和性质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刑法的创制和完善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第三节 刑法的根据和任务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第四节 刑法的体系和解释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第二章 刑法的基本原则</w:t>
            </w:r>
          </w:p>
          <w:p>
            <w:pPr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刑法基本原则的概念和意义</w:t>
            </w:r>
          </w:p>
          <w:p>
            <w:pPr>
              <w:adjustRightInd/>
              <w:spacing w:line="360" w:lineRule="auto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罪刑法定原则</w:t>
            </w:r>
          </w:p>
          <w:p>
            <w:pPr>
              <w:adjustRightInd/>
              <w:spacing w:line="360" w:lineRule="auto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第三节 适用刑法人人平等原则</w:t>
            </w:r>
          </w:p>
          <w:p>
            <w:pPr>
              <w:adjustRightInd/>
              <w:spacing w:line="360" w:lineRule="auto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第四节 罪责刑相适应原则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第三章 刑法的效力范围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刑法的空间效力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刑法的时间效力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第四章 犯罪概念与犯罪构成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犯罪概念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犯罪构成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第五章 犯罪客体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犯罪客体概述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犯罪客体的分类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第三节 犯罪客体与犯罪对象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第六章 犯罪客观方面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犯罪客观方面概述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危害行为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危害结果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危害行为与危害结果之间的因果关系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犯罪的其他客观要件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第七章 犯罪主体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犯罪主体概述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刑事责任能力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与刑事责任能力有关的因素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犯罪主体的特殊身份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单位犯罪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第八章 犯罪主观方面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犯罪主观方面概述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犯罪故意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第三节 犯罪过失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第四节 与罪过相关的几个特殊问题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犯罪目的和犯罪动机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第六节 认识错误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第九章 正当行为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正当行为概述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正当防卫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紧急避险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第十章 故意犯罪的停止形态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故意犯罪停止形态概述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犯罪既遂形态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犯罪预备形态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犯罪未遂形态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第五节 犯罪中止形态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第十一章 共同犯罪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共同犯罪概述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共同犯罪的形式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共同犯罪人的刑事责任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第十二章 罪数形态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罪数判断标准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一罪的类型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数罪的类型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第十三章 刑事责任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刑事责任概述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刑事责任的根据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刑事责任的发展阶段和解决方式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第十四章 刑罚概述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刑罚的概念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刑罚的功能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刑罚的目的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第十五章 刑罚的体系和种类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刑罚的体系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主刑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附加刑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非刑罚处理方法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第十六章 刑罚的裁量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刑罚裁量概述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刑罚裁量原则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刑罚裁量情节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第十七章 刑罚裁量制度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累犯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自首与立功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数罪并罚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缓刑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第十八章 刑罚执行制度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减刑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假释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第十九章 刑罚的消灭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刑罚消灭概述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时效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赦免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下编  刑法各论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第二十章 刑法各论概述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刑法各论与刑法总论的关系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刑法分则的体系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具体犯罪条文的构成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第二十一章 危害国家安全罪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危害国家安全罪概述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危害国家安全罪分述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第二十二章 危害公共安全罪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危害公共安全罪概述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危害公共安全罪分述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第二十三章 破坏社会主义市场经济秩序罪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破坏社会主义市场经济秩序罪概述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生产、销售伪劣商品罪</w:t>
            </w:r>
          </w:p>
          <w:p>
            <w:pPr>
              <w:adjustRightInd/>
              <w:spacing w:line="360" w:lineRule="auto"/>
              <w:ind w:firstLine="360" w:firstLineChars="15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第三节 走私罪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妨害对公司、企业的管理秩序罪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破坏金融管理秩序罪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第六节 金融诈骗罪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第七节 危害税收征管罪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第八节 侵犯知识产权罪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第九节 扰乱市场秩序罪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第二十四章 侵犯公民人身权利、民主权利罪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侵犯公民人身权利、民主权利罪概述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侵犯公民人身权利、民主权利罪分述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第二十五章 侵犯财产罪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侵犯财产罪概述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侵犯财产罪分述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第二十六章 妨害社会管理秩序罪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妨害社会管理秩序罪概述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扰乱公共秩序罪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妨害司法罪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妨害国（边）境管理罪 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妨害文物管理罪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第六节 危害公共卫生罪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第七节 破坏环境资源保护罪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第八节 走私、贩卖、运输、制造毒品罪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第九节 组织、强迫、引诱、容留、介绍卖淫罪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第十节 制作、贩卖、传播淫秽物品罪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第二十七章 危害国防利益罪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危害国防利益罪概述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危害国防利益罪分述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第二十八章 贪污贿赂罪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贪污贿赂罪概述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贪污贿赂罪分述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第二十九章 渎职罪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渎职罪概述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渎职罪分述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第三十章 军人违反职责罪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军人违反职责罪概述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军人违反职责罪分述</w:t>
            </w: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ascii="宋体" w:hAnsi="宋体"/>
          <w:b/>
          <w:bCs/>
          <w:spacing w:val="46"/>
          <w:sz w:val="24"/>
        </w:rPr>
      </w:pPr>
    </w:p>
    <w:sectPr>
      <w:pgSz w:w="11906" w:h="16838"/>
      <w:pgMar w:top="873" w:right="1803" w:bottom="873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B0816"/>
    <w:rsid w:val="0005413A"/>
    <w:rsid w:val="001807F8"/>
    <w:rsid w:val="00232293"/>
    <w:rsid w:val="00386C2D"/>
    <w:rsid w:val="005B3A89"/>
    <w:rsid w:val="00666661"/>
    <w:rsid w:val="007853AB"/>
    <w:rsid w:val="007B413F"/>
    <w:rsid w:val="2B7B0816"/>
    <w:rsid w:val="76A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sz w:val="18"/>
      <w:szCs w:val="18"/>
    </w:rPr>
  </w:style>
  <w:style w:type="character" w:customStyle="1" w:styleId="8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827</Words>
  <Characters>4714</Characters>
  <Lines>39</Lines>
  <Paragraphs>11</Paragraphs>
  <TotalTime>10</TotalTime>
  <ScaleCrop>false</ScaleCrop>
  <LinksUpToDate>false</LinksUpToDate>
  <CharactersWithSpaces>5530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2019-09-09T08:31:00Z</dcterms:created>
  <dc:creator>天意1386732766</dc:creator>
  <cp:lastModifiedBy>天意1386732766</cp:lastModifiedBy>
  <dcterms:modified xsi:type="dcterms:W3CDTF">2019-09-25T05:56:37Z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