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  <w:t>202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  <w:t xml:space="preserve"> 年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/>
        </w:rPr>
        <w:t>辽宁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  <w:t>省研究生教育教学改革研究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  <w:t>项目立项指南</w:t>
      </w:r>
    </w:p>
    <w:p>
      <w:pPr>
        <w:pStyle w:val="4"/>
        <w:spacing w:before="0"/>
        <w:ind w:left="0" w:firstLine="0"/>
        <w:rPr>
          <w:rFonts w:ascii="微软雅黑"/>
          <w:sz w:val="20"/>
        </w:rPr>
      </w:pPr>
    </w:p>
    <w:p>
      <w:pPr>
        <w:pStyle w:val="4"/>
        <w:spacing w:before="7"/>
        <w:ind w:left="0" w:firstLine="0"/>
        <w:rPr>
          <w:rFonts w:ascii="微软雅黑"/>
          <w:sz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157" w:firstLine="0"/>
        <w:textAlignment w:val="auto"/>
        <w:rPr>
          <w:rFonts w:ascii="黑体" w:eastAsia="黑体"/>
        </w:rPr>
      </w:pPr>
      <w:r>
        <w:rPr>
          <w:rFonts w:ascii="黑体" w:eastAsia="黑体"/>
          <w:spacing w:val="12"/>
        </w:rPr>
        <w:t>一、研究生教育战略研</w:t>
      </w:r>
      <w:r>
        <w:rPr>
          <w:rFonts w:ascii="黑体" w:eastAsia="黑体"/>
          <w:spacing w:val="-10"/>
        </w:rPr>
        <w:t>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8" w:right="0" w:hanging="669"/>
        <w:jc w:val="left"/>
        <w:textAlignment w:val="auto"/>
        <w:rPr>
          <w:sz w:val="32"/>
        </w:rPr>
      </w:pPr>
      <w:r>
        <w:rPr>
          <w:spacing w:val="-1"/>
          <w:sz w:val="32"/>
        </w:rPr>
        <w:t>新时代研究生教育强国重大理论研究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8" w:right="0" w:hanging="669"/>
        <w:jc w:val="left"/>
        <w:textAlignment w:val="auto"/>
        <w:rPr>
          <w:sz w:val="32"/>
        </w:rPr>
      </w:pPr>
      <w:r>
        <w:rPr>
          <w:rFonts w:hint="eastAsia"/>
          <w:spacing w:val="-1"/>
          <w:sz w:val="32"/>
          <w:lang w:val="en-US" w:eastAsia="zh-CN"/>
        </w:rPr>
        <w:t>辽宁</w:t>
      </w:r>
      <w:r>
        <w:rPr>
          <w:spacing w:val="-1"/>
          <w:sz w:val="32"/>
        </w:rPr>
        <w:t>省学位与研究生教育战略研究与顶层设计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8" w:right="0" w:hanging="669"/>
        <w:jc w:val="left"/>
        <w:textAlignment w:val="auto"/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辽宁振兴发展和产业升级对研究生人才需求研究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7" w:after="0" w:line="240" w:lineRule="auto"/>
        <w:ind w:left="824" w:right="0" w:hanging="668"/>
        <w:jc w:val="left"/>
        <w:textAlignment w:val="auto"/>
        <w:rPr>
          <w:sz w:val="32"/>
        </w:rPr>
      </w:pPr>
      <w:r>
        <w:rPr>
          <w:rFonts w:hint="eastAsia"/>
          <w:spacing w:val="-1"/>
          <w:sz w:val="32"/>
          <w:lang w:val="en-US" w:eastAsia="zh-CN"/>
        </w:rPr>
        <w:t>辽宁</w:t>
      </w:r>
      <w:r>
        <w:rPr>
          <w:rFonts w:hint="eastAsia"/>
          <w:spacing w:val="-1"/>
          <w:sz w:val="32"/>
        </w:rPr>
        <w:t>高校中国特色、世界一流优势学科建设</w:t>
      </w:r>
      <w:bookmarkStart w:id="0" w:name="_GoBack"/>
      <w:bookmarkEnd w:id="0"/>
      <w:r>
        <w:rPr>
          <w:rFonts w:hint="eastAsia"/>
          <w:spacing w:val="-1"/>
          <w:sz w:val="32"/>
        </w:rPr>
        <w:t>路径研究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7" w:after="0" w:line="240" w:lineRule="auto"/>
        <w:ind w:left="824" w:right="0" w:hanging="668"/>
        <w:jc w:val="left"/>
        <w:textAlignment w:val="auto"/>
        <w:rPr>
          <w:sz w:val="32"/>
        </w:rPr>
      </w:pPr>
      <w:r>
        <w:rPr>
          <w:spacing w:val="-1"/>
          <w:sz w:val="32"/>
        </w:rPr>
        <w:t>基础学科拔尖创新人才培养模式研究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4" w:right="0" w:hanging="668"/>
        <w:jc w:val="left"/>
        <w:textAlignment w:val="auto"/>
        <w:rPr>
          <w:sz w:val="32"/>
        </w:rPr>
      </w:pPr>
      <w:r>
        <w:rPr>
          <w:spacing w:val="-1"/>
          <w:sz w:val="32"/>
        </w:rPr>
        <w:t>国家关键领域急需高层次人才培养路径研究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4" w:right="0" w:hanging="668"/>
        <w:jc w:val="left"/>
        <w:textAlignment w:val="auto"/>
        <w:rPr>
          <w:sz w:val="32"/>
        </w:rPr>
      </w:pPr>
      <w:r>
        <w:rPr>
          <w:spacing w:val="-1"/>
          <w:sz w:val="32"/>
        </w:rPr>
        <w:t>新时代卓越工程师培养模式创新实践研究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4" w:right="0" w:hanging="668"/>
        <w:jc w:val="left"/>
        <w:textAlignment w:val="auto"/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学科评估与研究生教育资源配置联动机制研究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4" w:right="0" w:hanging="668"/>
        <w:jc w:val="left"/>
        <w:textAlignment w:val="auto"/>
        <w:rPr>
          <w:sz w:val="32"/>
        </w:rPr>
      </w:pPr>
      <w:r>
        <w:rPr>
          <w:sz w:val="32"/>
        </w:rPr>
        <w:t>学术学位与专业学位研究生教育分类发展路径研究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4" w:right="0" w:hanging="668"/>
        <w:jc w:val="left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>研究生教育质量监测体系构建研究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4" w:right="0" w:hanging="668"/>
        <w:jc w:val="left"/>
        <w:textAlignment w:val="auto"/>
        <w:rPr>
          <w:sz w:val="32"/>
        </w:rPr>
      </w:pPr>
      <w:r>
        <w:rPr>
          <w:rFonts w:hint="eastAsia"/>
          <w:spacing w:val="-1"/>
          <w:sz w:val="32"/>
          <w:lang w:val="en-US" w:eastAsia="zh-CN"/>
        </w:rPr>
        <w:t xml:space="preserve"> </w:t>
      </w:r>
      <w:r>
        <w:rPr>
          <w:spacing w:val="-1"/>
          <w:sz w:val="32"/>
        </w:rPr>
        <w:t>新时代研究生思想政治教育工作创新研究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990" w:right="0" w:hanging="833"/>
        <w:jc w:val="left"/>
        <w:textAlignment w:val="auto"/>
        <w:rPr>
          <w:sz w:val="32"/>
        </w:rPr>
      </w:pPr>
      <w:r>
        <w:rPr>
          <w:spacing w:val="-1"/>
          <w:sz w:val="32"/>
        </w:rPr>
        <w:t>研究生教育治理体系和治理能力现代化研究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990" w:right="0" w:hanging="833"/>
        <w:jc w:val="left"/>
        <w:textAlignment w:val="auto"/>
        <w:rPr>
          <w:sz w:val="32"/>
        </w:rPr>
      </w:pPr>
      <w:r>
        <w:rPr>
          <w:rFonts w:hint="eastAsia"/>
          <w:spacing w:val="-1"/>
          <w:sz w:val="32"/>
          <w:lang w:val="en-US" w:eastAsia="zh-CN"/>
        </w:rPr>
        <w:t>辽宁</w:t>
      </w:r>
      <w:r>
        <w:rPr>
          <w:spacing w:val="-1"/>
          <w:sz w:val="32"/>
        </w:rPr>
        <w:t>省研究生教育对外开放融合研究</w:t>
      </w:r>
    </w:p>
    <w:p>
      <w:pPr>
        <w:pStyle w:val="4"/>
        <w:ind w:left="157" w:firstLine="0"/>
        <w:rPr>
          <w:rFonts w:ascii="黑体" w:hAnsi="黑体" w:eastAsia="黑体"/>
        </w:rPr>
      </w:pPr>
      <w:r>
        <w:rPr>
          <w:rFonts w:ascii="黑体" w:hAnsi="黑体" w:eastAsia="黑体"/>
          <w:spacing w:val="-43"/>
        </w:rPr>
        <w:t>二、“</w:t>
      </w:r>
      <w:r>
        <w:rPr>
          <w:rFonts w:ascii="黑体" w:hAnsi="黑体" w:eastAsia="黑体"/>
          <w:spacing w:val="12"/>
        </w:rPr>
        <w:t>双一流”与学科建设研</w:t>
      </w:r>
      <w:r>
        <w:rPr>
          <w:rFonts w:ascii="黑体" w:hAnsi="黑体" w:eastAsia="黑体"/>
          <w:spacing w:val="-10"/>
        </w:rPr>
        <w:t>究</w:t>
      </w:r>
    </w:p>
    <w:p>
      <w:pPr>
        <w:pStyle w:val="9"/>
        <w:numPr>
          <w:ilvl w:val="1"/>
          <w:numId w:val="2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sz w:val="32"/>
        </w:rPr>
      </w:pPr>
      <w:r>
        <w:rPr>
          <w:sz w:val="32"/>
        </w:rPr>
        <w:t>一流大学和一流学科建设理论</w:t>
      </w:r>
      <w:r>
        <w:rPr>
          <w:rFonts w:hint="eastAsia"/>
          <w:sz w:val="32"/>
          <w:lang w:val="en-US" w:eastAsia="zh-CN"/>
        </w:rPr>
        <w:t>与实践</w:t>
      </w:r>
      <w:r>
        <w:rPr>
          <w:sz w:val="32"/>
        </w:rPr>
        <w:t>研究</w:t>
      </w:r>
    </w:p>
    <w:p>
      <w:pPr>
        <w:pStyle w:val="9"/>
        <w:numPr>
          <w:ilvl w:val="1"/>
          <w:numId w:val="2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sz w:val="32"/>
        </w:rPr>
      </w:pPr>
      <w:r>
        <w:rPr>
          <w:spacing w:val="-1"/>
          <w:sz w:val="32"/>
        </w:rPr>
        <w:t>“双一流”建设路径与成效评价研究</w:t>
      </w:r>
    </w:p>
    <w:p>
      <w:pPr>
        <w:pStyle w:val="9"/>
        <w:numPr>
          <w:ilvl w:val="1"/>
          <w:numId w:val="2"/>
        </w:numPr>
        <w:tabs>
          <w:tab w:val="left" w:pos="779"/>
        </w:tabs>
        <w:spacing w:before="167" w:after="0" w:line="240" w:lineRule="auto"/>
        <w:ind w:left="778" w:right="0" w:hanging="668"/>
        <w:jc w:val="left"/>
        <w:rPr>
          <w:sz w:val="32"/>
        </w:rPr>
      </w:pPr>
      <w:r>
        <w:rPr>
          <w:spacing w:val="-1"/>
          <w:sz w:val="32"/>
        </w:rPr>
        <w:t>“双一流”建设与研究生教育改革发展研究</w:t>
      </w:r>
    </w:p>
    <w:p>
      <w:pPr>
        <w:pStyle w:val="9"/>
        <w:numPr>
          <w:ilvl w:val="1"/>
          <w:numId w:val="2"/>
        </w:numPr>
        <w:tabs>
          <w:tab w:val="left" w:pos="825"/>
        </w:tabs>
        <w:spacing w:before="166" w:after="0" w:line="240" w:lineRule="auto"/>
        <w:ind w:left="824" w:right="0" w:hanging="668"/>
        <w:jc w:val="left"/>
        <w:rPr>
          <w:sz w:val="32"/>
        </w:rPr>
      </w:pPr>
      <w:r>
        <w:rPr>
          <w:rFonts w:hint="default"/>
          <w:sz w:val="32"/>
          <w:lang w:val="en-US" w:eastAsia="zh-CN"/>
        </w:rPr>
        <w:t>破“五唯”背景下学科评价体系研究</w:t>
      </w:r>
    </w:p>
    <w:p>
      <w:pPr>
        <w:pStyle w:val="9"/>
        <w:numPr>
          <w:ilvl w:val="1"/>
          <w:numId w:val="2"/>
        </w:numPr>
        <w:tabs>
          <w:tab w:val="left" w:pos="825"/>
        </w:tabs>
        <w:spacing w:before="166" w:after="0" w:line="240" w:lineRule="auto"/>
        <w:ind w:left="824" w:right="0" w:hanging="668"/>
        <w:jc w:val="left"/>
        <w:rPr>
          <w:sz w:val="32"/>
        </w:rPr>
      </w:pPr>
      <w:r>
        <w:rPr>
          <w:rFonts w:hint="eastAsia"/>
          <w:sz w:val="32"/>
          <w:lang w:val="en-US" w:eastAsia="zh-CN"/>
        </w:rPr>
        <w:t>基础学科、</w:t>
      </w:r>
      <w:r>
        <w:rPr>
          <w:sz w:val="32"/>
        </w:rPr>
        <w:t>交叉学科建设机理及实现路径研究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1920" w:right="1680" w:bottom="280" w:left="1420" w:header="720" w:footer="720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auto"/>
        <w:ind w:left="824" w:right="0" w:hanging="668"/>
        <w:jc w:val="left"/>
        <w:textAlignment w:val="auto"/>
        <w:rPr>
          <w:color w:val="auto"/>
          <w:sz w:val="32"/>
        </w:rPr>
      </w:pPr>
      <w:r>
        <w:rPr>
          <w:color w:val="auto"/>
          <w:spacing w:val="-1"/>
          <w:sz w:val="32"/>
        </w:rPr>
        <w:t>交叉学科建设与研究生教育的融合联动机制研究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4" w:right="0" w:hanging="668"/>
        <w:jc w:val="left"/>
        <w:textAlignment w:val="auto"/>
        <w:rPr>
          <w:color w:val="auto"/>
          <w:sz w:val="32"/>
        </w:rPr>
      </w:pPr>
      <w:r>
        <w:rPr>
          <w:rFonts w:hint="eastAsia"/>
          <w:color w:val="auto"/>
          <w:sz w:val="32"/>
          <w:lang w:val="en-US" w:eastAsia="zh-CN"/>
        </w:rPr>
        <w:t>辽宁</w:t>
      </w:r>
      <w:r>
        <w:rPr>
          <w:color w:val="auto"/>
          <w:sz w:val="32"/>
        </w:rPr>
        <w:t>博士硕士学位授权布局结构与服务区域经济社会发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156" w:leftChars="0" w:right="0" w:rightChars="0" w:firstLine="640" w:firstLineChars="200"/>
        <w:jc w:val="left"/>
        <w:textAlignment w:val="auto"/>
        <w:rPr>
          <w:color w:val="auto"/>
          <w:sz w:val="32"/>
        </w:rPr>
      </w:pPr>
      <w:r>
        <w:rPr>
          <w:color w:val="auto"/>
          <w:sz w:val="32"/>
        </w:rPr>
        <w:t>展相关研究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4" w:right="0" w:hanging="668"/>
        <w:jc w:val="left"/>
        <w:textAlignment w:val="auto"/>
        <w:rPr>
          <w:color w:val="auto"/>
          <w:sz w:val="32"/>
        </w:rPr>
      </w:pPr>
      <w:r>
        <w:rPr>
          <w:color w:val="auto"/>
          <w:sz w:val="32"/>
        </w:rPr>
        <w:t>学位点动态调整机制研究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left="824" w:right="0" w:hanging="668"/>
        <w:jc w:val="left"/>
        <w:textAlignment w:val="auto"/>
        <w:rPr>
          <w:color w:val="auto"/>
          <w:sz w:val="32"/>
        </w:rPr>
      </w:pPr>
      <w:r>
        <w:rPr>
          <w:color w:val="auto"/>
          <w:sz w:val="32"/>
        </w:rPr>
        <w:t>一级学科博士点的培育与建设研究</w:t>
      </w:r>
    </w:p>
    <w:p>
      <w:pPr>
        <w:pStyle w:val="4"/>
        <w:ind w:left="157" w:firstLine="0"/>
        <w:rPr>
          <w:rFonts w:ascii="黑体" w:eastAsia="黑体"/>
          <w:color w:val="auto"/>
        </w:rPr>
      </w:pPr>
      <w:r>
        <w:rPr>
          <w:rFonts w:ascii="黑体" w:eastAsia="黑体"/>
          <w:color w:val="auto"/>
          <w:spacing w:val="12"/>
        </w:rPr>
        <w:t>三、研究生招生体制机制改革研</w:t>
      </w:r>
      <w:r>
        <w:rPr>
          <w:rFonts w:ascii="黑体" w:eastAsia="黑体"/>
          <w:color w:val="auto"/>
          <w:spacing w:val="-10"/>
        </w:rPr>
        <w:t>究</w:t>
      </w:r>
    </w:p>
    <w:p>
      <w:pPr>
        <w:pStyle w:val="9"/>
        <w:numPr>
          <w:ilvl w:val="1"/>
          <w:numId w:val="3"/>
        </w:numPr>
        <w:tabs>
          <w:tab w:val="left" w:pos="825"/>
        </w:tabs>
        <w:spacing w:before="166" w:after="0" w:line="240" w:lineRule="auto"/>
        <w:ind w:left="824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新形势下研究生招生考试制度改革研究</w:t>
      </w:r>
    </w:p>
    <w:p>
      <w:pPr>
        <w:pStyle w:val="9"/>
        <w:numPr>
          <w:ilvl w:val="1"/>
          <w:numId w:val="3"/>
        </w:numPr>
        <w:tabs>
          <w:tab w:val="left" w:pos="825"/>
        </w:tabs>
        <w:spacing w:before="166" w:after="0" w:line="240" w:lineRule="auto"/>
        <w:ind w:left="824" w:right="0" w:hanging="668"/>
        <w:jc w:val="left"/>
        <w:rPr>
          <w:color w:val="auto"/>
          <w:sz w:val="32"/>
        </w:rPr>
      </w:pPr>
      <w:r>
        <w:rPr>
          <w:color w:val="auto"/>
          <w:sz w:val="32"/>
        </w:rPr>
        <w:t>研究生招生规模与结构调整研究</w:t>
      </w:r>
    </w:p>
    <w:p>
      <w:pPr>
        <w:pStyle w:val="9"/>
        <w:numPr>
          <w:ilvl w:val="1"/>
          <w:numId w:val="3"/>
        </w:numPr>
        <w:tabs>
          <w:tab w:val="left" w:pos="825"/>
        </w:tabs>
        <w:spacing w:before="166" w:after="0" w:line="240" w:lineRule="auto"/>
        <w:ind w:left="824" w:right="0" w:hanging="668"/>
        <w:jc w:val="left"/>
        <w:rPr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提高研究生生源质量的途径探索与实践</w:t>
      </w:r>
    </w:p>
    <w:p>
      <w:pPr>
        <w:pStyle w:val="9"/>
        <w:numPr>
          <w:ilvl w:val="1"/>
          <w:numId w:val="3"/>
        </w:numPr>
        <w:tabs>
          <w:tab w:val="left" w:pos="825"/>
        </w:tabs>
        <w:spacing w:before="166" w:after="0" w:line="240" w:lineRule="auto"/>
        <w:ind w:left="824" w:right="0" w:hanging="668"/>
        <w:jc w:val="left"/>
        <w:rPr>
          <w:color w:val="auto"/>
          <w:sz w:val="32"/>
        </w:rPr>
      </w:pPr>
      <w:r>
        <w:rPr>
          <w:color w:val="auto"/>
          <w:sz w:val="32"/>
        </w:rPr>
        <w:t>研究生考试招生中的综合评价研究</w:t>
      </w:r>
    </w:p>
    <w:p>
      <w:pPr>
        <w:pStyle w:val="9"/>
        <w:numPr>
          <w:ilvl w:val="1"/>
          <w:numId w:val="3"/>
        </w:numPr>
        <w:tabs>
          <w:tab w:val="left" w:pos="825"/>
        </w:tabs>
        <w:spacing w:before="166" w:after="0" w:line="240" w:lineRule="auto"/>
        <w:ind w:left="824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研究生招生考试自命题考试优化研究</w:t>
      </w:r>
    </w:p>
    <w:p>
      <w:pPr>
        <w:pStyle w:val="4"/>
        <w:spacing w:before="167"/>
        <w:ind w:left="157" w:firstLine="0"/>
        <w:rPr>
          <w:rFonts w:ascii="黑体" w:eastAsia="黑体"/>
          <w:color w:val="auto"/>
        </w:rPr>
      </w:pPr>
      <w:r>
        <w:rPr>
          <w:rFonts w:ascii="黑体" w:eastAsia="黑体"/>
          <w:color w:val="auto"/>
          <w:spacing w:val="12"/>
        </w:rPr>
        <w:t>四、研究生培养改革研</w:t>
      </w:r>
      <w:r>
        <w:rPr>
          <w:rFonts w:ascii="黑体" w:eastAsia="黑体"/>
          <w:color w:val="auto"/>
          <w:spacing w:val="-10"/>
        </w:rPr>
        <w:t>究</w:t>
      </w:r>
    </w:p>
    <w:p>
      <w:pPr>
        <w:pStyle w:val="9"/>
        <w:numPr>
          <w:ilvl w:val="1"/>
          <w:numId w:val="4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z w:val="32"/>
        </w:rPr>
        <w:t>人工智能时代研究生培养改革研究</w:t>
      </w:r>
    </w:p>
    <w:p>
      <w:pPr>
        <w:pStyle w:val="9"/>
        <w:numPr>
          <w:ilvl w:val="1"/>
          <w:numId w:val="4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新版学科专业目录调整下研究生培养工作研究</w:t>
      </w:r>
    </w:p>
    <w:p>
      <w:pPr>
        <w:pStyle w:val="9"/>
        <w:numPr>
          <w:ilvl w:val="1"/>
          <w:numId w:val="4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pacing w:val="1"/>
          <w:sz w:val="32"/>
        </w:rPr>
        <w:t>科教融合</w:t>
      </w:r>
      <w:r>
        <w:rPr>
          <w:rFonts w:hint="eastAsia"/>
          <w:color w:val="auto"/>
          <w:spacing w:val="1"/>
          <w:sz w:val="32"/>
          <w:lang w:eastAsia="zh-CN"/>
        </w:rPr>
        <w:t>、</w:t>
      </w:r>
      <w:r>
        <w:rPr>
          <w:color w:val="auto"/>
          <w:spacing w:val="1"/>
          <w:sz w:val="32"/>
        </w:rPr>
        <w:t>产教融合研究生培养模式研究</w:t>
      </w:r>
    </w:p>
    <w:p>
      <w:pPr>
        <w:pStyle w:val="9"/>
        <w:numPr>
          <w:ilvl w:val="1"/>
          <w:numId w:val="4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依托重大平台的研究生培养模式研究</w:t>
      </w:r>
    </w:p>
    <w:p>
      <w:pPr>
        <w:pStyle w:val="9"/>
        <w:numPr>
          <w:ilvl w:val="1"/>
          <w:numId w:val="4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哲学社会科学拔尖创新人才培养模式改革研究</w:t>
      </w:r>
    </w:p>
    <w:p>
      <w:pPr>
        <w:pStyle w:val="9"/>
        <w:numPr>
          <w:ilvl w:val="1"/>
          <w:numId w:val="4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z w:val="32"/>
        </w:rPr>
        <w:t>本硕博贯通培养机制研究</w:t>
      </w:r>
    </w:p>
    <w:p>
      <w:pPr>
        <w:pStyle w:val="9"/>
        <w:numPr>
          <w:ilvl w:val="1"/>
          <w:numId w:val="4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多学科交叉学术型研究生培养体系研究与实践</w:t>
      </w:r>
    </w:p>
    <w:p>
      <w:pPr>
        <w:pStyle w:val="9"/>
        <w:numPr>
          <w:ilvl w:val="1"/>
          <w:numId w:val="4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z w:val="32"/>
        </w:rPr>
        <w:t>研究生培养学术共同体建设研究</w:t>
      </w:r>
    </w:p>
    <w:p>
      <w:pPr>
        <w:pStyle w:val="9"/>
        <w:numPr>
          <w:ilvl w:val="1"/>
          <w:numId w:val="4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rFonts w:hint="eastAsia"/>
          <w:color w:val="auto"/>
          <w:spacing w:val="1"/>
          <w:sz w:val="32"/>
          <w:lang w:val="en-US" w:eastAsia="zh-CN"/>
        </w:rPr>
        <w:t xml:space="preserve"> </w:t>
      </w:r>
      <w:r>
        <w:rPr>
          <w:color w:val="auto"/>
          <w:spacing w:val="1"/>
          <w:sz w:val="32"/>
        </w:rPr>
        <w:t>研究生分流退出激励机制研究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6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非全日制研究生培养质量提升研究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7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专业学位博士生培养模式改革与创新研究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6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硕士专业学位研究生培养综合改革研究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6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专业学位研究生实践能力培养研究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6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学科交叉培养创新人才模式探索研究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6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新时代研究生课程体系改革及教材建设研究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6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研究生科学道德与学风建设的理论与实践研究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6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color w:val="auto"/>
          <w:sz w:val="32"/>
        </w:rPr>
        <w:t>研究生体育与美育实践路径研究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6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研究生优质教学资源共享机制和路径研究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6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研究生创新创业竞赛与创新人才培养融合研究</w:t>
      </w:r>
    </w:p>
    <w:p>
      <w:pPr>
        <w:pStyle w:val="9"/>
        <w:numPr>
          <w:ilvl w:val="1"/>
          <w:numId w:val="4"/>
        </w:numPr>
        <w:tabs>
          <w:tab w:val="left" w:pos="945"/>
        </w:tabs>
        <w:spacing w:before="166" w:after="0" w:line="240" w:lineRule="auto"/>
        <w:ind w:left="944" w:right="0" w:hanging="834"/>
        <w:jc w:val="left"/>
        <w:rPr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省际、校际研究生联合培养机制研究</w:t>
      </w:r>
    </w:p>
    <w:p>
      <w:pPr>
        <w:pStyle w:val="4"/>
        <w:ind w:left="157" w:firstLine="0"/>
        <w:rPr>
          <w:rFonts w:ascii="黑体" w:eastAsia="黑体"/>
          <w:color w:val="auto"/>
        </w:rPr>
      </w:pPr>
      <w:r>
        <w:rPr>
          <w:rFonts w:ascii="黑体" w:eastAsia="黑体"/>
          <w:color w:val="auto"/>
        </w:rPr>
        <w:t>五、研究生教育质量保障研</w:t>
      </w:r>
      <w:r>
        <w:rPr>
          <w:rFonts w:ascii="黑体" w:eastAsia="黑体"/>
          <w:color w:val="auto"/>
          <w:spacing w:val="-10"/>
        </w:rPr>
        <w:t>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6" w:after="0" w:line="240" w:lineRule="auto"/>
        <w:ind w:left="766" w:right="0" w:hanging="656"/>
        <w:jc w:val="left"/>
        <w:rPr>
          <w:color w:val="auto"/>
          <w:spacing w:val="-1"/>
          <w:sz w:val="32"/>
        </w:rPr>
      </w:pPr>
      <w:r>
        <w:rPr>
          <w:rFonts w:hint="eastAsia"/>
          <w:color w:val="auto"/>
          <w:spacing w:val="-1"/>
          <w:sz w:val="32"/>
          <w:lang w:val="en-US" w:eastAsia="zh-CN"/>
        </w:rPr>
        <w:t>研究生培养质量评价体系与评价标准研究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6" w:after="0" w:line="240" w:lineRule="auto"/>
        <w:ind w:left="766" w:right="0" w:hanging="656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研究生教育教学数字化建设研究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6" w:after="0" w:line="240" w:lineRule="auto"/>
        <w:ind w:left="766" w:right="0" w:hanging="656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人工智能+研究生教育全过程质量评价研究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7" w:after="0" w:line="240" w:lineRule="auto"/>
        <w:ind w:left="766" w:right="0" w:hanging="656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研究生教育内部质量保障体系建设研究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6" w:after="0" w:line="240" w:lineRule="auto"/>
        <w:ind w:left="766" w:right="0" w:hanging="656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第三方参与研究生教育质量保障体系建设研究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6" w:after="0" w:line="240" w:lineRule="auto"/>
        <w:ind w:left="766" w:right="0" w:hanging="656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交叉学科学术成果认定机制研究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6" w:after="0" w:line="240" w:lineRule="auto"/>
        <w:ind w:left="766" w:right="0" w:hanging="656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“破五唯”背景下研究生创新成果评价研究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6" w:after="0" w:line="240" w:lineRule="auto"/>
        <w:ind w:left="766" w:right="0" w:hanging="656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研究生课程教学质量评价标准研究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6" w:after="0" w:line="240" w:lineRule="auto"/>
        <w:ind w:left="766" w:right="0" w:hanging="656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研究生课程思政教学质量评价研究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6" w:after="0" w:line="240" w:lineRule="auto"/>
        <w:ind w:left="766" w:right="0" w:hanging="656"/>
        <w:jc w:val="left"/>
        <w:rPr>
          <w:color w:val="auto"/>
          <w:sz w:val="32"/>
        </w:rPr>
      </w:pPr>
      <w:r>
        <w:rPr>
          <w:rFonts w:hint="eastAsia"/>
          <w:color w:val="auto"/>
          <w:spacing w:val="-1"/>
          <w:sz w:val="32"/>
          <w:lang w:val="en-US" w:eastAsia="zh-CN"/>
        </w:rPr>
        <w:t xml:space="preserve"> </w:t>
      </w:r>
      <w:r>
        <w:rPr>
          <w:color w:val="auto"/>
          <w:spacing w:val="-1"/>
          <w:sz w:val="32"/>
        </w:rPr>
        <w:t>研究生教学模式改革与质量保证研究</w:t>
      </w:r>
    </w:p>
    <w:p>
      <w:pPr>
        <w:pStyle w:val="9"/>
        <w:numPr>
          <w:ilvl w:val="1"/>
          <w:numId w:val="5"/>
        </w:numPr>
        <w:tabs>
          <w:tab w:val="left" w:pos="767"/>
        </w:tabs>
        <w:spacing w:before="166" w:after="0" w:line="240" w:lineRule="auto"/>
        <w:ind w:left="766" w:right="0" w:hanging="656"/>
        <w:jc w:val="left"/>
        <w:rPr>
          <w:color w:val="auto"/>
          <w:sz w:val="32"/>
        </w:rPr>
      </w:pPr>
      <w:r>
        <w:rPr>
          <w:rFonts w:hint="eastAsia"/>
          <w:color w:val="auto"/>
          <w:spacing w:val="-1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导学关系与人才培养质量研究与探索</w:t>
      </w:r>
    </w:p>
    <w:p>
      <w:pPr>
        <w:pStyle w:val="9"/>
        <w:numPr>
          <w:ilvl w:val="1"/>
          <w:numId w:val="5"/>
        </w:numPr>
        <w:tabs>
          <w:tab w:val="left" w:pos="930"/>
        </w:tabs>
        <w:spacing w:before="166" w:after="0" w:line="240" w:lineRule="auto"/>
        <w:ind w:left="930" w:right="0" w:hanging="819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研究生学位论文质量保障体系构建研究</w:t>
      </w:r>
    </w:p>
    <w:p>
      <w:pPr>
        <w:pStyle w:val="9"/>
        <w:numPr>
          <w:ilvl w:val="1"/>
          <w:numId w:val="5"/>
        </w:numPr>
        <w:tabs>
          <w:tab w:val="left" w:pos="930"/>
        </w:tabs>
        <w:spacing w:before="166" w:after="0" w:line="240" w:lineRule="auto"/>
        <w:ind w:left="930" w:right="0" w:hanging="819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学术学位研究生学位论文评价标准研究</w:t>
      </w:r>
    </w:p>
    <w:p>
      <w:pPr>
        <w:pStyle w:val="9"/>
        <w:numPr>
          <w:ilvl w:val="1"/>
          <w:numId w:val="5"/>
        </w:numPr>
        <w:tabs>
          <w:tab w:val="left" w:pos="930"/>
        </w:tabs>
        <w:spacing w:before="166" w:after="0" w:line="240" w:lineRule="auto"/>
        <w:ind w:left="930" w:right="0" w:hanging="819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专业学位研究生课程教学案例库建设研究</w:t>
      </w:r>
    </w:p>
    <w:p>
      <w:pPr>
        <w:pStyle w:val="9"/>
        <w:numPr>
          <w:ilvl w:val="1"/>
          <w:numId w:val="5"/>
        </w:numPr>
        <w:tabs>
          <w:tab w:val="left" w:pos="930"/>
        </w:tabs>
        <w:spacing w:before="166" w:after="0" w:line="240" w:lineRule="auto"/>
        <w:ind w:left="930" w:right="0" w:hanging="819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专业学位研究生学位论文评价标准研究</w:t>
      </w:r>
    </w:p>
    <w:p>
      <w:pPr>
        <w:pStyle w:val="9"/>
        <w:numPr>
          <w:ilvl w:val="1"/>
          <w:numId w:val="5"/>
        </w:numPr>
        <w:tabs>
          <w:tab w:val="left" w:pos="930"/>
        </w:tabs>
        <w:spacing w:before="167" w:after="0" w:line="240" w:lineRule="auto"/>
        <w:ind w:left="930" w:right="0" w:hanging="819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专业学位研究生专业实践能力评价研究</w:t>
      </w:r>
    </w:p>
    <w:p>
      <w:pPr>
        <w:pStyle w:val="9"/>
        <w:numPr>
          <w:ilvl w:val="1"/>
          <w:numId w:val="5"/>
        </w:numPr>
        <w:tabs>
          <w:tab w:val="left" w:pos="926"/>
        </w:tabs>
        <w:spacing w:before="166" w:after="0" w:line="240" w:lineRule="auto"/>
        <w:ind w:left="925" w:right="0" w:hanging="815"/>
        <w:jc w:val="left"/>
        <w:rPr>
          <w:color w:val="auto"/>
          <w:sz w:val="32"/>
        </w:rPr>
      </w:pPr>
      <w:r>
        <w:rPr>
          <w:color w:val="auto"/>
          <w:spacing w:val="-4"/>
          <w:sz w:val="32"/>
        </w:rPr>
        <w:t>研究生招生—培养—就业联动反馈机制研</w:t>
      </w:r>
      <w:r>
        <w:rPr>
          <w:color w:val="auto"/>
          <w:spacing w:val="-10"/>
          <w:sz w:val="32"/>
        </w:rPr>
        <w:t>究</w:t>
      </w:r>
    </w:p>
    <w:p>
      <w:pPr>
        <w:spacing w:after="0" w:line="240" w:lineRule="auto"/>
        <w:jc w:val="left"/>
        <w:rPr>
          <w:color w:val="auto"/>
          <w:sz w:val="32"/>
        </w:rPr>
        <w:sectPr>
          <w:pgSz w:w="11910" w:h="16840"/>
          <w:pgMar w:top="1920" w:right="1680" w:bottom="280" w:left="1420" w:header="720" w:footer="720" w:gutter="0"/>
          <w:cols w:space="720" w:num="1"/>
        </w:sectPr>
      </w:pPr>
    </w:p>
    <w:p>
      <w:pPr>
        <w:pStyle w:val="4"/>
        <w:spacing w:before="2"/>
        <w:ind w:left="0" w:firstLine="0"/>
        <w:rPr>
          <w:color w:val="auto"/>
          <w:sz w:val="19"/>
        </w:rPr>
      </w:pPr>
    </w:p>
    <w:p>
      <w:pPr>
        <w:pStyle w:val="9"/>
        <w:numPr>
          <w:ilvl w:val="1"/>
          <w:numId w:val="5"/>
        </w:numPr>
        <w:tabs>
          <w:tab w:val="left" w:pos="914"/>
        </w:tabs>
        <w:spacing w:before="55" w:after="0" w:line="240" w:lineRule="auto"/>
        <w:ind w:left="913" w:right="0" w:hanging="803"/>
        <w:jc w:val="left"/>
        <w:rPr>
          <w:color w:val="auto"/>
          <w:sz w:val="32"/>
        </w:rPr>
      </w:pPr>
      <w:r>
        <w:rPr>
          <w:color w:val="auto"/>
          <w:spacing w:val="-4"/>
          <w:sz w:val="32"/>
        </w:rPr>
        <w:t>研究生培养成本分担机制</w:t>
      </w:r>
      <w:r>
        <w:rPr>
          <w:color w:val="auto"/>
          <w:spacing w:val="-7"/>
          <w:sz w:val="32"/>
        </w:rPr>
        <w:t>研究</w:t>
      </w:r>
    </w:p>
    <w:p>
      <w:pPr>
        <w:pStyle w:val="4"/>
        <w:ind w:left="157" w:firstLine="0"/>
        <w:rPr>
          <w:rFonts w:ascii="黑体" w:eastAsia="黑体"/>
          <w:color w:val="auto"/>
        </w:rPr>
      </w:pPr>
      <w:r>
        <w:rPr>
          <w:rFonts w:ascii="黑体" w:eastAsia="黑体"/>
          <w:color w:val="auto"/>
        </w:rPr>
        <w:t>六、研究生导师队伍建设研</w:t>
      </w:r>
      <w:r>
        <w:rPr>
          <w:rFonts w:ascii="黑体" w:eastAsia="黑体"/>
          <w:color w:val="auto"/>
          <w:spacing w:val="-10"/>
        </w:rPr>
        <w:t>究</w:t>
      </w:r>
    </w:p>
    <w:p>
      <w:pPr>
        <w:pStyle w:val="9"/>
        <w:numPr>
          <w:ilvl w:val="1"/>
          <w:numId w:val="6"/>
        </w:numPr>
        <w:tabs>
          <w:tab w:val="left" w:pos="801"/>
        </w:tabs>
        <w:spacing w:before="166" w:after="0" w:line="240" w:lineRule="auto"/>
        <w:ind w:left="800" w:right="0" w:hanging="65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导师落实立德树人职责研究</w:t>
      </w:r>
    </w:p>
    <w:p>
      <w:pPr>
        <w:pStyle w:val="9"/>
        <w:numPr>
          <w:ilvl w:val="1"/>
          <w:numId w:val="6"/>
        </w:numPr>
        <w:tabs>
          <w:tab w:val="left" w:pos="801"/>
        </w:tabs>
        <w:spacing w:before="166" w:after="0" w:line="240" w:lineRule="auto"/>
        <w:ind w:left="800" w:right="0" w:hanging="65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导师师德师风建设研究</w:t>
      </w:r>
    </w:p>
    <w:p>
      <w:pPr>
        <w:pStyle w:val="9"/>
        <w:numPr>
          <w:ilvl w:val="1"/>
          <w:numId w:val="6"/>
        </w:numPr>
        <w:tabs>
          <w:tab w:val="left" w:pos="801"/>
        </w:tabs>
        <w:spacing w:before="166" w:after="0" w:line="240" w:lineRule="auto"/>
        <w:ind w:left="800" w:right="0" w:hanging="65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导师学术道德规范研究</w:t>
      </w:r>
    </w:p>
    <w:p>
      <w:pPr>
        <w:pStyle w:val="9"/>
        <w:numPr>
          <w:ilvl w:val="1"/>
          <w:numId w:val="6"/>
        </w:numPr>
        <w:tabs>
          <w:tab w:val="left" w:pos="801"/>
        </w:tabs>
        <w:spacing w:before="166" w:after="0" w:line="240" w:lineRule="auto"/>
        <w:ind w:left="800" w:right="0" w:hanging="65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导师队伍能力建设研究</w:t>
      </w:r>
    </w:p>
    <w:p>
      <w:pPr>
        <w:pStyle w:val="9"/>
        <w:numPr>
          <w:ilvl w:val="1"/>
          <w:numId w:val="6"/>
        </w:numPr>
        <w:tabs>
          <w:tab w:val="left" w:pos="801"/>
        </w:tabs>
        <w:spacing w:before="166" w:after="0" w:line="240" w:lineRule="auto"/>
        <w:ind w:left="800" w:right="0" w:hanging="65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导师队伍建设与团队指导模式研究</w:t>
      </w:r>
    </w:p>
    <w:p>
      <w:pPr>
        <w:pStyle w:val="9"/>
        <w:numPr>
          <w:ilvl w:val="1"/>
          <w:numId w:val="6"/>
        </w:numPr>
        <w:tabs>
          <w:tab w:val="left" w:pos="801"/>
        </w:tabs>
        <w:spacing w:before="166" w:after="0" w:line="240" w:lineRule="auto"/>
        <w:ind w:left="800" w:right="0" w:hanging="65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研究生导学共同体构建机制研究</w:t>
      </w:r>
    </w:p>
    <w:p>
      <w:pPr>
        <w:pStyle w:val="9"/>
        <w:numPr>
          <w:ilvl w:val="1"/>
          <w:numId w:val="6"/>
        </w:numPr>
        <w:tabs>
          <w:tab w:val="left" w:pos="801"/>
        </w:tabs>
        <w:spacing w:before="166" w:after="0" w:line="240" w:lineRule="auto"/>
        <w:ind w:left="800" w:right="0" w:hanging="65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校内校外双导师协同育人机制研究</w:t>
      </w:r>
    </w:p>
    <w:p>
      <w:pPr>
        <w:pStyle w:val="9"/>
        <w:numPr>
          <w:ilvl w:val="1"/>
          <w:numId w:val="6"/>
        </w:numPr>
        <w:tabs>
          <w:tab w:val="left" w:pos="801"/>
        </w:tabs>
        <w:spacing w:before="167" w:after="0" w:line="240" w:lineRule="auto"/>
        <w:ind w:left="800" w:right="0" w:hanging="654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导师培训研修体系研究</w:t>
      </w:r>
    </w:p>
    <w:p>
      <w:pPr>
        <w:pStyle w:val="9"/>
        <w:numPr>
          <w:ilvl w:val="1"/>
          <w:numId w:val="6"/>
        </w:numPr>
        <w:tabs>
          <w:tab w:val="left" w:pos="801"/>
        </w:tabs>
        <w:spacing w:before="167" w:after="0" w:line="240" w:lineRule="auto"/>
        <w:ind w:left="800" w:right="0" w:hanging="654"/>
        <w:jc w:val="left"/>
        <w:rPr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优秀研究生导师团队培育机制研究与实践</w:t>
      </w:r>
    </w:p>
    <w:p>
      <w:pPr>
        <w:pStyle w:val="9"/>
        <w:numPr>
          <w:ilvl w:val="1"/>
          <w:numId w:val="6"/>
        </w:numPr>
        <w:tabs>
          <w:tab w:val="left" w:pos="801"/>
        </w:tabs>
        <w:spacing w:before="167" w:after="0" w:line="240" w:lineRule="auto"/>
        <w:ind w:left="800" w:right="0" w:hanging="654"/>
        <w:jc w:val="left"/>
        <w:rPr>
          <w:color w:val="auto"/>
          <w:sz w:val="32"/>
        </w:rPr>
      </w:pP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 xml:space="preserve"> 教育家精神引领研究生导师队伍高质量发展研究</w:t>
      </w:r>
    </w:p>
    <w:p>
      <w:pPr>
        <w:pStyle w:val="4"/>
        <w:ind w:left="157" w:firstLine="0"/>
        <w:rPr>
          <w:rFonts w:ascii="黑体" w:eastAsia="黑体"/>
          <w:color w:val="auto"/>
        </w:rPr>
      </w:pPr>
      <w:r>
        <w:rPr>
          <w:rFonts w:ascii="黑体" w:eastAsia="黑体"/>
          <w:color w:val="auto"/>
        </w:rPr>
        <w:t>七、研究生思政教育与管理服务研</w:t>
      </w:r>
      <w:r>
        <w:rPr>
          <w:rFonts w:ascii="黑体" w:eastAsia="黑体"/>
          <w:color w:val="auto"/>
          <w:spacing w:val="-10"/>
        </w:rPr>
        <w:t>究</w:t>
      </w:r>
    </w:p>
    <w:p>
      <w:pPr>
        <w:pStyle w:val="9"/>
        <w:numPr>
          <w:ilvl w:val="1"/>
          <w:numId w:val="7"/>
        </w:numPr>
        <w:tabs>
          <w:tab w:val="left" w:pos="818"/>
        </w:tabs>
        <w:spacing w:before="166" w:after="0" w:line="240" w:lineRule="auto"/>
        <w:ind w:left="817" w:right="0" w:hanging="668"/>
        <w:jc w:val="left"/>
        <w:rPr>
          <w:color w:val="auto"/>
          <w:sz w:val="32"/>
        </w:rPr>
      </w:pPr>
      <w:r>
        <w:rPr>
          <w:color w:val="auto"/>
          <w:spacing w:val="1"/>
          <w:sz w:val="32"/>
        </w:rPr>
        <w:t>研究生思想政治工作体系研究</w:t>
      </w:r>
    </w:p>
    <w:p>
      <w:pPr>
        <w:pStyle w:val="9"/>
        <w:numPr>
          <w:ilvl w:val="1"/>
          <w:numId w:val="7"/>
        </w:numPr>
        <w:tabs>
          <w:tab w:val="left" w:pos="818"/>
        </w:tabs>
        <w:spacing w:before="166" w:after="0" w:line="240" w:lineRule="auto"/>
        <w:ind w:left="817" w:right="0" w:hanging="668"/>
        <w:jc w:val="left"/>
        <w:rPr>
          <w:color w:val="auto"/>
          <w:sz w:val="32"/>
        </w:rPr>
      </w:pPr>
      <w:r>
        <w:rPr>
          <w:color w:val="auto"/>
          <w:spacing w:val="1"/>
          <w:sz w:val="32"/>
        </w:rPr>
        <w:t>研究生“大思政课”建设研究</w:t>
      </w:r>
    </w:p>
    <w:p>
      <w:pPr>
        <w:pStyle w:val="9"/>
        <w:numPr>
          <w:ilvl w:val="1"/>
          <w:numId w:val="7"/>
        </w:numPr>
        <w:tabs>
          <w:tab w:val="left" w:pos="818"/>
        </w:tabs>
        <w:spacing w:before="166" w:after="0" w:line="240" w:lineRule="auto"/>
        <w:ind w:left="817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后疫情时代研究生思想特点与教育对策研究</w:t>
      </w:r>
    </w:p>
    <w:p>
      <w:pPr>
        <w:pStyle w:val="9"/>
        <w:numPr>
          <w:ilvl w:val="1"/>
          <w:numId w:val="7"/>
        </w:numPr>
        <w:tabs>
          <w:tab w:val="left" w:pos="818"/>
        </w:tabs>
        <w:spacing w:before="166" w:after="0" w:line="240" w:lineRule="auto"/>
        <w:ind w:left="817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新形势下研究生教育风险与危机管理应对研究</w:t>
      </w:r>
    </w:p>
    <w:p>
      <w:pPr>
        <w:pStyle w:val="9"/>
        <w:numPr>
          <w:ilvl w:val="1"/>
          <w:numId w:val="7"/>
        </w:numPr>
        <w:tabs>
          <w:tab w:val="left" w:pos="818"/>
        </w:tabs>
        <w:spacing w:before="166" w:after="0" w:line="240" w:lineRule="auto"/>
        <w:ind w:left="817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研究生安全稳定机制与实践路径研究</w:t>
      </w:r>
    </w:p>
    <w:p>
      <w:pPr>
        <w:pStyle w:val="9"/>
        <w:numPr>
          <w:ilvl w:val="1"/>
          <w:numId w:val="7"/>
        </w:numPr>
        <w:tabs>
          <w:tab w:val="left" w:pos="818"/>
        </w:tabs>
        <w:spacing w:before="166" w:after="0" w:line="240" w:lineRule="auto"/>
        <w:ind w:left="817" w:right="0" w:hanging="668"/>
        <w:jc w:val="left"/>
        <w:rPr>
          <w:color w:val="auto"/>
          <w:sz w:val="32"/>
        </w:rPr>
      </w:pPr>
      <w:r>
        <w:rPr>
          <w:color w:val="auto"/>
          <w:sz w:val="32"/>
        </w:rPr>
        <w:t>研究生职业发展问题研究</w:t>
      </w:r>
    </w:p>
    <w:p>
      <w:pPr>
        <w:pStyle w:val="9"/>
        <w:numPr>
          <w:ilvl w:val="1"/>
          <w:numId w:val="7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z w:val="32"/>
        </w:rPr>
        <w:t>研究生学术文化与学风建设研究</w:t>
      </w:r>
    </w:p>
    <w:p>
      <w:pPr>
        <w:pStyle w:val="9"/>
        <w:numPr>
          <w:ilvl w:val="1"/>
          <w:numId w:val="7"/>
        </w:numPr>
        <w:tabs>
          <w:tab w:val="left" w:pos="818"/>
        </w:tabs>
        <w:spacing w:before="166" w:after="0" w:line="240" w:lineRule="auto"/>
        <w:ind w:left="817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研究生学术规范和学术道德教育研究</w:t>
      </w:r>
    </w:p>
    <w:p>
      <w:pPr>
        <w:pStyle w:val="9"/>
        <w:numPr>
          <w:ilvl w:val="1"/>
          <w:numId w:val="7"/>
        </w:numPr>
        <w:tabs>
          <w:tab w:val="left" w:pos="818"/>
        </w:tabs>
        <w:spacing w:before="166" w:after="0" w:line="240" w:lineRule="auto"/>
        <w:ind w:left="817" w:right="0" w:hanging="668"/>
        <w:jc w:val="left"/>
        <w:rPr>
          <w:color w:val="auto"/>
          <w:sz w:val="32"/>
        </w:rPr>
      </w:pPr>
      <w:r>
        <w:rPr>
          <w:color w:val="auto"/>
          <w:spacing w:val="1"/>
          <w:sz w:val="32"/>
        </w:rPr>
        <w:t>研究生多元奖助政策体系研究</w:t>
      </w:r>
    </w:p>
    <w:p>
      <w:pPr>
        <w:pStyle w:val="9"/>
        <w:numPr>
          <w:ilvl w:val="1"/>
          <w:numId w:val="7"/>
        </w:numPr>
        <w:tabs>
          <w:tab w:val="left" w:pos="983"/>
        </w:tabs>
        <w:spacing w:before="167" w:after="0" w:line="240" w:lineRule="auto"/>
        <w:ind w:left="982" w:right="0" w:hanging="833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研究生基层党建与科研创新相互促进研究</w:t>
      </w:r>
    </w:p>
    <w:p>
      <w:pPr>
        <w:pStyle w:val="9"/>
        <w:numPr>
          <w:ilvl w:val="1"/>
          <w:numId w:val="7"/>
        </w:numPr>
        <w:tabs>
          <w:tab w:val="left" w:pos="983"/>
        </w:tabs>
        <w:spacing w:before="166" w:after="0" w:line="240" w:lineRule="auto"/>
        <w:ind w:left="982" w:right="0" w:hanging="833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研究生党建工作机制与实践路径研究</w:t>
      </w:r>
    </w:p>
    <w:p>
      <w:pPr>
        <w:spacing w:after="0" w:line="240" w:lineRule="auto"/>
        <w:jc w:val="left"/>
        <w:rPr>
          <w:color w:val="auto"/>
          <w:sz w:val="32"/>
        </w:rPr>
        <w:sectPr>
          <w:pgSz w:w="11910" w:h="16840"/>
          <w:pgMar w:top="1920" w:right="1680" w:bottom="280" w:left="1420" w:header="720" w:footer="720" w:gutter="0"/>
          <w:cols w:space="720" w:num="1"/>
        </w:sectPr>
      </w:pPr>
    </w:p>
    <w:p>
      <w:pPr>
        <w:pStyle w:val="4"/>
        <w:spacing w:before="2"/>
        <w:ind w:left="0" w:firstLine="0"/>
        <w:rPr>
          <w:color w:val="auto"/>
          <w:sz w:val="19"/>
        </w:rPr>
      </w:pPr>
    </w:p>
    <w:p>
      <w:pPr>
        <w:pStyle w:val="9"/>
        <w:numPr>
          <w:ilvl w:val="1"/>
          <w:numId w:val="7"/>
        </w:numPr>
        <w:tabs>
          <w:tab w:val="left" w:pos="983"/>
        </w:tabs>
        <w:spacing w:before="55" w:after="0" w:line="240" w:lineRule="auto"/>
        <w:ind w:left="982" w:right="0" w:hanging="833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研究生思想政治教育工作队伍建设研究</w:t>
      </w:r>
    </w:p>
    <w:p>
      <w:pPr>
        <w:pStyle w:val="9"/>
        <w:numPr>
          <w:ilvl w:val="1"/>
          <w:numId w:val="7"/>
        </w:numPr>
        <w:tabs>
          <w:tab w:val="left" w:pos="983"/>
        </w:tabs>
        <w:spacing w:before="166" w:after="0" w:line="240" w:lineRule="auto"/>
        <w:ind w:left="982" w:right="0" w:hanging="833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研究生教育管理队伍建设机制与实践路径研究</w:t>
      </w:r>
    </w:p>
    <w:p>
      <w:pPr>
        <w:pStyle w:val="9"/>
        <w:numPr>
          <w:ilvl w:val="1"/>
          <w:numId w:val="7"/>
        </w:numPr>
        <w:tabs>
          <w:tab w:val="left" w:pos="983"/>
        </w:tabs>
        <w:spacing w:before="166" w:after="0" w:line="240" w:lineRule="auto"/>
        <w:ind w:left="982" w:right="0" w:hanging="833"/>
        <w:jc w:val="left"/>
        <w:rPr>
          <w:color w:val="auto"/>
          <w:sz w:val="32"/>
        </w:rPr>
      </w:pPr>
      <w:r>
        <w:rPr>
          <w:color w:val="auto"/>
          <w:sz w:val="32"/>
        </w:rPr>
        <w:t>研究生心理健康教育研究</w:t>
      </w:r>
    </w:p>
    <w:p>
      <w:pPr>
        <w:pStyle w:val="4"/>
        <w:ind w:left="157" w:firstLine="0"/>
        <w:rPr>
          <w:rFonts w:ascii="黑体" w:eastAsia="黑体"/>
          <w:color w:val="auto"/>
        </w:rPr>
      </w:pPr>
      <w:r>
        <w:rPr>
          <w:rFonts w:ascii="黑体" w:eastAsia="黑体"/>
          <w:color w:val="auto"/>
        </w:rPr>
        <w:t>八、研究生教育国际</w:t>
      </w:r>
      <w:r>
        <w:rPr>
          <w:rFonts w:ascii="黑体" w:eastAsia="黑体"/>
          <w:color w:val="auto"/>
          <w:spacing w:val="-4"/>
        </w:rPr>
        <w:t>化研究</w:t>
      </w:r>
    </w:p>
    <w:p>
      <w:pPr>
        <w:pStyle w:val="9"/>
        <w:numPr>
          <w:ilvl w:val="1"/>
          <w:numId w:val="8"/>
        </w:numPr>
        <w:tabs>
          <w:tab w:val="left" w:pos="818"/>
        </w:tabs>
        <w:spacing w:before="166" w:after="0" w:line="240" w:lineRule="auto"/>
        <w:ind w:left="817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研究生国际学术交流机制与模式研究</w:t>
      </w:r>
    </w:p>
    <w:p>
      <w:pPr>
        <w:pStyle w:val="9"/>
        <w:numPr>
          <w:ilvl w:val="1"/>
          <w:numId w:val="8"/>
        </w:numPr>
        <w:tabs>
          <w:tab w:val="left" w:pos="818"/>
        </w:tabs>
        <w:spacing w:before="166" w:after="0" w:line="240" w:lineRule="auto"/>
        <w:ind w:left="817" w:right="0" w:hanging="668"/>
        <w:jc w:val="left"/>
        <w:rPr>
          <w:color w:val="auto"/>
          <w:sz w:val="32"/>
        </w:rPr>
      </w:pPr>
      <w:r>
        <w:rPr>
          <w:color w:val="auto"/>
          <w:spacing w:val="1"/>
          <w:sz w:val="32"/>
        </w:rPr>
        <w:t>来华留学研究生培养质量研究</w:t>
      </w:r>
    </w:p>
    <w:p>
      <w:pPr>
        <w:pStyle w:val="9"/>
        <w:numPr>
          <w:ilvl w:val="1"/>
          <w:numId w:val="8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z w:val="32"/>
        </w:rPr>
        <w:t>研究生教育国际比较研究</w:t>
      </w:r>
    </w:p>
    <w:p>
      <w:pPr>
        <w:pStyle w:val="9"/>
        <w:numPr>
          <w:ilvl w:val="1"/>
          <w:numId w:val="8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pacing w:val="-1"/>
          <w:sz w:val="32"/>
        </w:rPr>
        <w:t>提升研究生教育国际影响力路径研究</w:t>
      </w:r>
    </w:p>
    <w:p>
      <w:pPr>
        <w:pStyle w:val="9"/>
        <w:numPr>
          <w:ilvl w:val="1"/>
          <w:numId w:val="8"/>
        </w:numPr>
        <w:tabs>
          <w:tab w:val="left" w:pos="779"/>
        </w:tabs>
        <w:spacing w:before="166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辽宁</w:t>
      </w:r>
      <w:r>
        <w:rPr>
          <w:rFonts w:eastAsia="仿宋_GB2312"/>
          <w:color w:val="auto"/>
          <w:sz w:val="32"/>
          <w:szCs w:val="32"/>
        </w:rPr>
        <w:t>高校博士研究生全球竞争力提升策略研究</w:t>
      </w:r>
    </w:p>
    <w:p>
      <w:pPr>
        <w:pStyle w:val="4"/>
        <w:ind w:left="111" w:firstLine="0"/>
        <w:rPr>
          <w:rFonts w:ascii="黑体" w:eastAsia="黑体"/>
          <w:color w:val="auto"/>
        </w:rPr>
      </w:pPr>
      <w:r>
        <w:rPr>
          <w:rFonts w:ascii="黑体" w:eastAsia="黑体"/>
          <w:color w:val="auto"/>
        </w:rPr>
        <w:t>九、其他相关研</w:t>
      </w:r>
      <w:r>
        <w:rPr>
          <w:rFonts w:ascii="黑体" w:eastAsia="黑体"/>
          <w:color w:val="auto"/>
          <w:spacing w:val="-10"/>
        </w:rPr>
        <w:t>究</w:t>
      </w:r>
    </w:p>
    <w:p>
      <w:pPr>
        <w:pStyle w:val="9"/>
        <w:numPr>
          <w:ilvl w:val="1"/>
          <w:numId w:val="9"/>
        </w:numPr>
        <w:tabs>
          <w:tab w:val="left" w:pos="779"/>
        </w:tabs>
        <w:spacing w:before="167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rFonts w:hint="eastAsia"/>
          <w:color w:val="auto"/>
          <w:sz w:val="32"/>
          <w:lang w:eastAsia="zh-CN"/>
        </w:rPr>
        <w:t>《</w:t>
      </w:r>
      <w:r>
        <w:rPr>
          <w:rFonts w:hint="eastAsia"/>
          <w:color w:val="auto"/>
          <w:sz w:val="32"/>
          <w:lang w:val="en-US" w:eastAsia="zh-CN"/>
        </w:rPr>
        <w:t>学位法</w:t>
      </w:r>
      <w:r>
        <w:rPr>
          <w:rFonts w:hint="eastAsia"/>
          <w:color w:val="auto"/>
          <w:sz w:val="32"/>
          <w:lang w:eastAsia="zh-CN"/>
        </w:rPr>
        <w:t>》</w:t>
      </w:r>
      <w:r>
        <w:rPr>
          <w:rFonts w:hint="eastAsia"/>
          <w:color w:val="auto"/>
          <w:sz w:val="32"/>
          <w:lang w:val="en-US" w:eastAsia="zh-CN"/>
        </w:rPr>
        <w:t>与研究生教育高质量发展研究</w:t>
      </w:r>
    </w:p>
    <w:p>
      <w:pPr>
        <w:pStyle w:val="9"/>
        <w:numPr>
          <w:ilvl w:val="1"/>
          <w:numId w:val="9"/>
        </w:numPr>
        <w:tabs>
          <w:tab w:val="left" w:pos="779"/>
        </w:tabs>
        <w:spacing w:before="167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rFonts w:hint="eastAsia"/>
          <w:color w:val="auto"/>
          <w:sz w:val="32"/>
          <w:lang w:val="en-US" w:eastAsia="zh-CN"/>
        </w:rPr>
        <w:t>海洋经济战略视野下研究生教学改革创新研究</w:t>
      </w:r>
    </w:p>
    <w:p>
      <w:pPr>
        <w:pStyle w:val="9"/>
        <w:numPr>
          <w:ilvl w:val="1"/>
          <w:numId w:val="9"/>
        </w:numPr>
        <w:tabs>
          <w:tab w:val="left" w:pos="779"/>
        </w:tabs>
        <w:spacing w:before="167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color w:val="auto"/>
          <w:sz w:val="32"/>
        </w:rPr>
        <w:t>集成电路产业发展</w:t>
      </w:r>
      <w:r>
        <w:rPr>
          <w:rFonts w:hint="eastAsia"/>
          <w:color w:val="auto"/>
          <w:sz w:val="32"/>
          <w:lang w:val="en-US" w:eastAsia="zh-CN"/>
        </w:rPr>
        <w:t>与研究生教育教学改革研究</w:t>
      </w:r>
    </w:p>
    <w:p>
      <w:pPr>
        <w:pStyle w:val="9"/>
        <w:numPr>
          <w:ilvl w:val="1"/>
          <w:numId w:val="9"/>
        </w:numPr>
        <w:tabs>
          <w:tab w:val="left" w:pos="779"/>
        </w:tabs>
        <w:spacing w:before="167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rFonts w:hint="eastAsia"/>
          <w:color w:val="auto"/>
          <w:sz w:val="32"/>
          <w:lang w:val="en-US" w:eastAsia="zh-CN"/>
        </w:rPr>
        <w:t>研究生教育支撑</w:t>
      </w:r>
      <w:r>
        <w:rPr>
          <w:color w:val="auto"/>
          <w:sz w:val="32"/>
        </w:rPr>
        <w:t>万亿级产业基地和重点产业集群</w:t>
      </w:r>
      <w:r>
        <w:rPr>
          <w:rFonts w:hint="eastAsia"/>
          <w:color w:val="auto"/>
          <w:sz w:val="32"/>
          <w:lang w:val="en-US" w:eastAsia="zh-CN"/>
        </w:rPr>
        <w:t>研究</w:t>
      </w:r>
    </w:p>
    <w:p>
      <w:pPr>
        <w:pStyle w:val="9"/>
        <w:numPr>
          <w:ilvl w:val="1"/>
          <w:numId w:val="9"/>
        </w:numPr>
        <w:tabs>
          <w:tab w:val="left" w:pos="779"/>
        </w:tabs>
        <w:spacing w:before="167" w:after="0" w:line="240" w:lineRule="auto"/>
        <w:ind w:left="778" w:right="0" w:hanging="668"/>
        <w:jc w:val="left"/>
        <w:rPr>
          <w:color w:val="auto"/>
          <w:sz w:val="32"/>
        </w:rPr>
      </w:pPr>
      <w:r>
        <w:rPr>
          <w:rFonts w:hint="eastAsia"/>
          <w:color w:val="auto"/>
          <w:sz w:val="32"/>
          <w:lang w:val="en-US" w:eastAsia="zh-CN"/>
        </w:rPr>
        <w:t>研究生教育赋能新质生产力发展研究</w:t>
      </w:r>
    </w:p>
    <w:p>
      <w:pPr>
        <w:pStyle w:val="9"/>
        <w:numPr>
          <w:ilvl w:val="1"/>
          <w:numId w:val="9"/>
        </w:numPr>
        <w:tabs>
          <w:tab w:val="left" w:pos="779"/>
        </w:tabs>
        <w:spacing w:before="167" w:after="0" w:line="240" w:lineRule="auto"/>
        <w:ind w:left="778" w:right="0" w:hanging="668"/>
        <w:jc w:val="left"/>
        <w:rPr>
          <w:color w:val="auto"/>
          <w:sz w:val="15"/>
        </w:rPr>
      </w:pPr>
      <w:r>
        <w:rPr>
          <w:color w:val="auto"/>
          <w:sz w:val="32"/>
        </w:rPr>
        <w:t>其</w:t>
      </w:r>
      <w:r>
        <w:rPr>
          <w:color w:val="auto"/>
          <w:spacing w:val="-10"/>
          <w:sz w:val="32"/>
        </w:rPr>
        <w:t>他</w:t>
      </w:r>
    </w:p>
    <w:sectPr>
      <w:pgSz w:w="11910" w:h="16840"/>
      <w:pgMar w:top="1920" w:right="168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5"/>
      <w:numFmt w:val="decimal"/>
      <w:lvlText w:val="%1"/>
      <w:lvlJc w:val="left"/>
      <w:pPr>
        <w:ind w:left="766" w:hanging="656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766" w:hanging="656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69" w:hanging="65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73" w:hanging="65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78" w:hanging="65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83" w:hanging="65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87" w:hanging="65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92" w:hanging="65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97" w:hanging="656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4"/>
      <w:numFmt w:val="decimal"/>
      <w:lvlText w:val="%1"/>
      <w:lvlJc w:val="left"/>
      <w:pPr>
        <w:ind w:left="778" w:hanging="668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778" w:hanging="668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85" w:hanging="6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87" w:hanging="6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90" w:hanging="6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3" w:hanging="6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95" w:hanging="6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98" w:hanging="6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01" w:hanging="668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778" w:hanging="668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778" w:hanging="668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85" w:hanging="6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87" w:hanging="6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90" w:hanging="6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3" w:hanging="6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95" w:hanging="6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98" w:hanging="6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01" w:hanging="668"/>
      </w:pPr>
      <w:rPr>
        <w:rFonts w:hint="default"/>
        <w:lang w:val="en-US" w:eastAsia="zh-CN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824" w:hanging="668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824" w:hanging="668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17" w:hanging="6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15" w:hanging="6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14" w:hanging="6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13" w:hanging="6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11" w:hanging="6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10" w:hanging="6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09" w:hanging="668"/>
      </w:pPr>
      <w:rPr>
        <w:rFonts w:hint="default"/>
        <w:lang w:val="en-US" w:eastAsia="zh-CN" w:bidi="ar-SA"/>
      </w:rPr>
    </w:lvl>
  </w:abstractNum>
  <w:abstractNum w:abstractNumId="4">
    <w:nsid w:val="0248C179"/>
    <w:multiLevelType w:val="multilevel"/>
    <w:tmpl w:val="0248C179"/>
    <w:lvl w:ilvl="0" w:tentative="0">
      <w:start w:val="9"/>
      <w:numFmt w:val="decimal"/>
      <w:lvlText w:val="%1"/>
      <w:lvlJc w:val="left"/>
      <w:pPr>
        <w:ind w:left="778" w:hanging="668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778" w:hanging="668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85" w:hanging="6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87" w:hanging="6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90" w:hanging="6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3" w:hanging="6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95" w:hanging="6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98" w:hanging="6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01" w:hanging="668"/>
      </w:pPr>
      <w:rPr>
        <w:rFonts w:hint="default"/>
        <w:lang w:val="en-US" w:eastAsia="zh-CN" w:bidi="ar-SA"/>
      </w:rPr>
    </w:lvl>
  </w:abstractNum>
  <w:abstractNum w:abstractNumId="5">
    <w:nsid w:val="03D62ECE"/>
    <w:multiLevelType w:val="multilevel"/>
    <w:tmpl w:val="03D62ECE"/>
    <w:lvl w:ilvl="0" w:tentative="0">
      <w:start w:val="6"/>
      <w:numFmt w:val="decimal"/>
      <w:lvlText w:val="%1"/>
      <w:lvlJc w:val="left"/>
      <w:pPr>
        <w:ind w:left="800" w:hanging="653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800" w:hanging="653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01" w:hanging="6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01" w:hanging="6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02" w:hanging="6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03" w:hanging="6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03" w:hanging="6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04" w:hanging="6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05" w:hanging="653"/>
      </w:pPr>
      <w:rPr>
        <w:rFonts w:hint="default"/>
        <w:lang w:val="en-US" w:eastAsia="zh-CN" w:bidi="ar-SA"/>
      </w:rPr>
    </w:lvl>
  </w:abstractNum>
  <w:abstractNum w:abstractNumId="6">
    <w:nsid w:val="25B654F3"/>
    <w:multiLevelType w:val="multilevel"/>
    <w:tmpl w:val="25B654F3"/>
    <w:lvl w:ilvl="0" w:tentative="0">
      <w:start w:val="7"/>
      <w:numFmt w:val="decimal"/>
      <w:lvlText w:val="%1"/>
      <w:lvlJc w:val="left"/>
      <w:pPr>
        <w:ind w:left="817" w:hanging="668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817" w:hanging="668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17" w:hanging="6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15" w:hanging="6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14" w:hanging="6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13" w:hanging="6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11" w:hanging="6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10" w:hanging="6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09" w:hanging="668"/>
      </w:pPr>
      <w:rPr>
        <w:rFonts w:hint="default"/>
        <w:lang w:val="en-US" w:eastAsia="zh-CN" w:bidi="ar-SA"/>
      </w:rPr>
    </w:lvl>
  </w:abstractNum>
  <w:abstractNum w:abstractNumId="7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824" w:hanging="668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824" w:hanging="668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17" w:hanging="6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15" w:hanging="6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14" w:hanging="6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13" w:hanging="6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11" w:hanging="6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10" w:hanging="6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09" w:hanging="668"/>
      </w:pPr>
      <w:rPr>
        <w:rFonts w:hint="default"/>
        <w:lang w:val="en-US" w:eastAsia="zh-CN" w:bidi="ar-SA"/>
      </w:rPr>
    </w:lvl>
  </w:abstractNum>
  <w:abstractNum w:abstractNumId="8">
    <w:nsid w:val="72183CF9"/>
    <w:multiLevelType w:val="multilevel"/>
    <w:tmpl w:val="72183CF9"/>
    <w:lvl w:ilvl="0" w:tentative="0">
      <w:start w:val="8"/>
      <w:numFmt w:val="decimal"/>
      <w:lvlText w:val="%1"/>
      <w:lvlJc w:val="left"/>
      <w:pPr>
        <w:ind w:left="817" w:hanging="668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817" w:hanging="668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17" w:hanging="6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15" w:hanging="6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14" w:hanging="6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13" w:hanging="6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11" w:hanging="6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10" w:hanging="6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09" w:hanging="668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M2YTJjZDc5MTA4YzFmYjZiZWNlNjk2N2VlYWJmYTYifQ=="/>
  </w:docVars>
  <w:rsids>
    <w:rsidRoot w:val="00000000"/>
    <w:rsid w:val="00C603FA"/>
    <w:rsid w:val="05B60B2E"/>
    <w:rsid w:val="07B471FE"/>
    <w:rsid w:val="0BAF665A"/>
    <w:rsid w:val="0D077DD0"/>
    <w:rsid w:val="101051ED"/>
    <w:rsid w:val="10D26947"/>
    <w:rsid w:val="13785584"/>
    <w:rsid w:val="14956609"/>
    <w:rsid w:val="149C734F"/>
    <w:rsid w:val="16DE7DF3"/>
    <w:rsid w:val="1E2708C0"/>
    <w:rsid w:val="210E5779"/>
    <w:rsid w:val="23294AEC"/>
    <w:rsid w:val="239F4DAE"/>
    <w:rsid w:val="24CC572F"/>
    <w:rsid w:val="255A71DF"/>
    <w:rsid w:val="28377363"/>
    <w:rsid w:val="28553C8E"/>
    <w:rsid w:val="290033FC"/>
    <w:rsid w:val="2AC670C5"/>
    <w:rsid w:val="2E440655"/>
    <w:rsid w:val="319121DA"/>
    <w:rsid w:val="34401C96"/>
    <w:rsid w:val="3628478F"/>
    <w:rsid w:val="37166CDE"/>
    <w:rsid w:val="3872130C"/>
    <w:rsid w:val="3BFE66BE"/>
    <w:rsid w:val="437D25BE"/>
    <w:rsid w:val="522602C5"/>
    <w:rsid w:val="52806B1B"/>
    <w:rsid w:val="53B67427"/>
    <w:rsid w:val="55602B15"/>
    <w:rsid w:val="59FF7CAA"/>
    <w:rsid w:val="5D243653"/>
    <w:rsid w:val="658B0ABE"/>
    <w:rsid w:val="668138C4"/>
    <w:rsid w:val="67DF6AF4"/>
    <w:rsid w:val="6A01441B"/>
    <w:rsid w:val="6BCC3834"/>
    <w:rsid w:val="6C7A503E"/>
    <w:rsid w:val="6CB53856"/>
    <w:rsid w:val="76A41635"/>
    <w:rsid w:val="774E77F3"/>
    <w:rsid w:val="79091C23"/>
    <w:rsid w:val="7D4476CE"/>
    <w:rsid w:val="7E3E411D"/>
    <w:rsid w:val="7E955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166"/>
      <w:ind w:left="824" w:hanging="668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5">
    <w:name w:val="Title"/>
    <w:basedOn w:val="1"/>
    <w:autoRedefine/>
    <w:qFormat/>
    <w:uiPriority w:val="1"/>
    <w:pPr>
      <w:spacing w:before="115"/>
      <w:ind w:left="2776" w:right="840" w:hanging="1674"/>
    </w:pPr>
    <w:rPr>
      <w:rFonts w:ascii="微软雅黑" w:hAnsi="微软雅黑" w:eastAsia="微软雅黑" w:cs="微软雅黑"/>
      <w:sz w:val="44"/>
      <w:szCs w:val="44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spacing w:before="166"/>
      <w:ind w:left="824" w:hanging="668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1785</Words>
  <Characters>1788</Characters>
  <TotalTime>153</TotalTime>
  <ScaleCrop>false</ScaleCrop>
  <LinksUpToDate>false</LinksUpToDate>
  <CharactersWithSpaces>1795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2024-05-13T02:19:00Z</dcterms:created>
  <dc:creator>swzzb</dc:creator>
  <cp:lastModifiedBy>学位办</cp:lastModifiedBy>
  <dcterms:modified xsi:type="dcterms:W3CDTF">2024-05-22T08:00:40Z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2052-12.1.0.16929</vt:lpwstr>
  </property>
  <property fmtid="{D5CDD505-2E9C-101B-9397-08002B2CF9AE}" pid="7" name="ICV">
    <vt:lpwstr>03A99376FE3145F4959780CDDEDAA1B8_12</vt:lpwstr>
  </property>
</Properties>
</file>